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4A" w:rsidRPr="00F84968" w:rsidRDefault="004D044A" w:rsidP="002850CE">
      <w:pPr>
        <w:jc w:val="center"/>
        <w:rPr>
          <w:b/>
          <w:sz w:val="28"/>
        </w:rPr>
      </w:pPr>
      <w:r w:rsidRPr="00F84968">
        <w:rPr>
          <w:b/>
          <w:sz w:val="28"/>
        </w:rPr>
        <w:t>Plan Nacional para la Defensa de Democracia  y   de la Dignidad de México.</w:t>
      </w:r>
    </w:p>
    <w:p w:rsidR="004D044A" w:rsidRPr="00F84968" w:rsidRDefault="002850CE" w:rsidP="002850CE">
      <w:pPr>
        <w:jc w:val="center"/>
        <w:rPr>
          <w:b/>
          <w:sz w:val="28"/>
        </w:rPr>
      </w:pPr>
      <w:r w:rsidRPr="00F84968">
        <w:rPr>
          <w:b/>
          <w:sz w:val="28"/>
        </w:rPr>
        <w:t xml:space="preserve">Acción 2.- Programa de Trabajo </w:t>
      </w:r>
      <w:r w:rsidR="004D044A" w:rsidRPr="00F84968">
        <w:rPr>
          <w:b/>
          <w:sz w:val="28"/>
        </w:rPr>
        <w:t>Mesas Informativas</w:t>
      </w:r>
    </w:p>
    <w:p w:rsidR="00F84968" w:rsidRDefault="00F84968" w:rsidP="00F84968">
      <w:pPr>
        <w:jc w:val="both"/>
        <w:rPr>
          <w:sz w:val="28"/>
          <w:szCs w:val="24"/>
        </w:rPr>
      </w:pPr>
    </w:p>
    <w:p w:rsidR="00212849" w:rsidRPr="00F84968" w:rsidRDefault="00212849" w:rsidP="00F84968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t>Se convoca a todos  los ciudadanos  mexicanos  para que  el  día domingo 29 de julio  y 5 de agosto  del presente año, en mesas que se instalarán en las principales plazas públicas del país hagan llegar  todas las evidencias, pruebas, documentos, fotografías, videos, tarjetas bancarias como</w:t>
      </w:r>
      <w:r w:rsidR="00015F95" w:rsidRPr="00F84968">
        <w:rPr>
          <w:sz w:val="28"/>
          <w:szCs w:val="24"/>
        </w:rPr>
        <w:t xml:space="preserve"> las de</w:t>
      </w:r>
      <w:r w:rsidR="00BF11EA">
        <w:rPr>
          <w:sz w:val="28"/>
          <w:szCs w:val="24"/>
        </w:rPr>
        <w:t xml:space="preserve"> </w:t>
      </w:r>
      <w:proofErr w:type="spellStart"/>
      <w:r w:rsidR="00BF11EA">
        <w:rPr>
          <w:sz w:val="28"/>
          <w:szCs w:val="24"/>
        </w:rPr>
        <w:t>Monex</w:t>
      </w:r>
      <w:proofErr w:type="spellEnd"/>
      <w:r w:rsidR="00BF11EA">
        <w:rPr>
          <w:sz w:val="28"/>
          <w:szCs w:val="24"/>
        </w:rPr>
        <w:t>, Soriana, B</w:t>
      </w:r>
      <w:r w:rsidRPr="00F84968">
        <w:rPr>
          <w:sz w:val="28"/>
          <w:szCs w:val="24"/>
        </w:rPr>
        <w:t>ancomer,</w:t>
      </w:r>
      <w:r w:rsidR="00015F95" w:rsidRPr="00F84968">
        <w:rPr>
          <w:sz w:val="28"/>
          <w:szCs w:val="24"/>
        </w:rPr>
        <w:t xml:space="preserve"> partido verde,</w:t>
      </w:r>
      <w:r w:rsidR="000125D3" w:rsidRPr="00F84968">
        <w:rPr>
          <w:sz w:val="28"/>
          <w:szCs w:val="24"/>
        </w:rPr>
        <w:t xml:space="preserve"> </w:t>
      </w:r>
      <w:r w:rsidRPr="00F84968">
        <w:rPr>
          <w:sz w:val="28"/>
          <w:szCs w:val="24"/>
        </w:rPr>
        <w:t>así  como tarjetas telefónicas que  fueron utilizadas por el PRI para comprar  y coaccionar votos antes y durante la jornada electoral del pasado 1º de julio del 2012.</w:t>
      </w:r>
    </w:p>
    <w:p w:rsidR="000F2164" w:rsidRPr="00F84968" w:rsidRDefault="00015F95" w:rsidP="000F2164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t xml:space="preserve">La primera  jornada  se  información  se realizará en 142 ciudades del país  el día domingo 29 de Julio y la segunda se llevará a  cabo en las 32 ciudades capitales de toda la República  </w:t>
      </w:r>
      <w:r w:rsidR="000125D3" w:rsidRPr="00F84968">
        <w:rPr>
          <w:sz w:val="28"/>
          <w:szCs w:val="24"/>
        </w:rPr>
        <w:t xml:space="preserve">Mexicana, en ambos casos a partir de las </w:t>
      </w:r>
      <w:r w:rsidR="002850CE" w:rsidRPr="00F84968">
        <w:rPr>
          <w:sz w:val="28"/>
          <w:szCs w:val="24"/>
        </w:rPr>
        <w:t>10</w:t>
      </w:r>
      <w:r w:rsidR="000125D3" w:rsidRPr="00F84968">
        <w:rPr>
          <w:sz w:val="28"/>
          <w:szCs w:val="24"/>
        </w:rPr>
        <w:t xml:space="preserve"> de la mañana  hasta  las 6 de la tarde.</w:t>
      </w:r>
    </w:p>
    <w:p w:rsidR="000F2164" w:rsidRPr="00F84968" w:rsidRDefault="000F2164" w:rsidP="000F2164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t xml:space="preserve">Para el caso  de las asambleas en las ciudades capitales, se exhibirá durante todo el día  los materiales audiovisuales  y principales pruebas de la compra y coacción del voto. </w:t>
      </w:r>
    </w:p>
    <w:p w:rsidR="000125D3" w:rsidRPr="00F84968" w:rsidRDefault="002850CE" w:rsidP="000F2164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t xml:space="preserve">Se anexa  el programa y calendario de los eventos 113 distritales, 29 regionales y 32 estatales. </w:t>
      </w:r>
      <w:r w:rsidR="000125D3" w:rsidRPr="00F84968">
        <w:rPr>
          <w:sz w:val="28"/>
          <w:szCs w:val="24"/>
        </w:rPr>
        <w:t xml:space="preserve">La relación  de las ciudades </w:t>
      </w:r>
      <w:proofErr w:type="gramStart"/>
      <w:r w:rsidR="000125D3" w:rsidRPr="00F84968">
        <w:rPr>
          <w:sz w:val="28"/>
          <w:szCs w:val="24"/>
        </w:rPr>
        <w:t>serán</w:t>
      </w:r>
      <w:proofErr w:type="gramEnd"/>
      <w:r w:rsidR="000125D3" w:rsidRPr="00F84968">
        <w:rPr>
          <w:sz w:val="28"/>
          <w:szCs w:val="24"/>
        </w:rPr>
        <w:t xml:space="preserve"> publicadas en nuestra página de internet y</w:t>
      </w:r>
      <w:r w:rsidRPr="00F84968">
        <w:rPr>
          <w:sz w:val="28"/>
          <w:szCs w:val="24"/>
        </w:rPr>
        <w:t xml:space="preserve"> también </w:t>
      </w:r>
      <w:r w:rsidR="000125D3" w:rsidRPr="00F84968">
        <w:rPr>
          <w:sz w:val="28"/>
          <w:szCs w:val="24"/>
        </w:rPr>
        <w:t>se difundirán a través de las redes sociales.</w:t>
      </w:r>
    </w:p>
    <w:p w:rsidR="000125D3" w:rsidRPr="00F84968" w:rsidRDefault="000125D3" w:rsidP="000F2164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t xml:space="preserve">Adicionalmente en estas mesas se </w:t>
      </w:r>
      <w:r w:rsidR="000F2164" w:rsidRPr="00F84968">
        <w:rPr>
          <w:sz w:val="28"/>
          <w:szCs w:val="24"/>
        </w:rPr>
        <w:t xml:space="preserve">solicitarán </w:t>
      </w:r>
      <w:r w:rsidRPr="00F84968">
        <w:rPr>
          <w:sz w:val="28"/>
          <w:szCs w:val="24"/>
        </w:rPr>
        <w:t xml:space="preserve">firmas para demandar la invalidez de la elección Presidencial. </w:t>
      </w:r>
    </w:p>
    <w:p w:rsidR="000F2164" w:rsidRPr="00F84968" w:rsidRDefault="000125D3" w:rsidP="000F2164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t>Al término de la jornada  todas las pruebas recabadas</w:t>
      </w:r>
      <w:r w:rsidR="000F2164" w:rsidRPr="00F84968">
        <w:rPr>
          <w:sz w:val="28"/>
          <w:szCs w:val="24"/>
        </w:rPr>
        <w:t>,</w:t>
      </w:r>
      <w:r w:rsidRPr="00F84968">
        <w:rPr>
          <w:sz w:val="28"/>
          <w:szCs w:val="24"/>
        </w:rPr>
        <w:t xml:space="preserve">  así como las  firmas serán enviadas  a la Ciudad de México para integrarlas como pruebas supervinientes al juicio de inconformidad presentado el  día jueves 12 de julio  ante</w:t>
      </w:r>
      <w:r w:rsidR="000F2164" w:rsidRPr="00F84968">
        <w:rPr>
          <w:sz w:val="28"/>
          <w:szCs w:val="24"/>
        </w:rPr>
        <w:t xml:space="preserve"> las autoridades electorales.</w:t>
      </w:r>
    </w:p>
    <w:p w:rsidR="00AF678B" w:rsidRPr="00F84968" w:rsidRDefault="00AF678B">
      <w:pPr>
        <w:rPr>
          <w:sz w:val="28"/>
          <w:szCs w:val="24"/>
        </w:rPr>
      </w:pPr>
      <w:r w:rsidRPr="00F84968">
        <w:rPr>
          <w:sz w:val="28"/>
          <w:szCs w:val="24"/>
        </w:rPr>
        <w:br w:type="page"/>
      </w:r>
    </w:p>
    <w:p w:rsidR="000F2164" w:rsidRPr="00F84968" w:rsidRDefault="000F2164" w:rsidP="000F2164">
      <w:pPr>
        <w:jc w:val="both"/>
        <w:rPr>
          <w:b/>
          <w:sz w:val="24"/>
          <w:szCs w:val="24"/>
        </w:rPr>
      </w:pPr>
      <w:r w:rsidRPr="00F84968">
        <w:rPr>
          <w:b/>
          <w:sz w:val="24"/>
          <w:szCs w:val="24"/>
        </w:rPr>
        <w:lastRenderedPageBreak/>
        <w:t>Logística interna:</w:t>
      </w:r>
    </w:p>
    <w:p w:rsidR="002850CE" w:rsidRPr="00F84968" w:rsidRDefault="000F2164" w:rsidP="000F2164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t xml:space="preserve">1.- Los responsables de la convocatoria  e instalación de las mesas  serán los  </w:t>
      </w:r>
      <w:r w:rsidR="00D92A74" w:rsidRPr="00F84968">
        <w:rPr>
          <w:sz w:val="28"/>
          <w:szCs w:val="24"/>
        </w:rPr>
        <w:t>coordinadores</w:t>
      </w:r>
      <w:r w:rsidRPr="00F84968">
        <w:rPr>
          <w:sz w:val="28"/>
          <w:szCs w:val="24"/>
        </w:rPr>
        <w:t xml:space="preserve"> Estatales, Regionales y Distritales de Morena en todo el país.</w:t>
      </w:r>
      <w:r w:rsidR="00D92A74" w:rsidRPr="00F84968">
        <w:rPr>
          <w:sz w:val="28"/>
          <w:szCs w:val="24"/>
        </w:rPr>
        <w:t xml:space="preserve"> </w:t>
      </w:r>
      <w:r w:rsidR="002850CE" w:rsidRPr="00F84968">
        <w:rPr>
          <w:sz w:val="28"/>
          <w:szCs w:val="24"/>
        </w:rPr>
        <w:t xml:space="preserve"> Estos coordinadores  contarán  con el apoyo de los dirigentes  municipales, estatales y nacionales  de  los part</w:t>
      </w:r>
      <w:r w:rsidR="00867825">
        <w:rPr>
          <w:sz w:val="28"/>
          <w:szCs w:val="24"/>
        </w:rPr>
        <w:t>idos del Movimiento Progresista</w:t>
      </w:r>
      <w:r w:rsidR="002850CE" w:rsidRPr="00F84968">
        <w:rPr>
          <w:sz w:val="28"/>
          <w:szCs w:val="24"/>
        </w:rPr>
        <w:t>: Partido de Revolución Democrática, Partido del Trabajo y Movimiento Ciudadano.</w:t>
      </w:r>
    </w:p>
    <w:p w:rsidR="000F2164" w:rsidRPr="00F84968" w:rsidRDefault="00D92A74" w:rsidP="000F2164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t xml:space="preserve">Para difundir  la convocatoria, en la medida de lo posible deberán buscar espacios en programas de radio y televisión, hacer uso de las redes sociales, repartir volantes,  y perifoneo. </w:t>
      </w:r>
    </w:p>
    <w:p w:rsidR="005455F3" w:rsidRPr="00F84968" w:rsidRDefault="005455F3" w:rsidP="000F2164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t>2.- Las mesas deben ser  atendidas por  al menos 2 responsables  y 2 secretarios  que tomen  nota  de los testimonios  y comentarios de la gente, así como los acuses de recibo de las pruebas que se presenten.</w:t>
      </w:r>
    </w:p>
    <w:p w:rsidR="000F2164" w:rsidRPr="00F84968" w:rsidRDefault="005455F3" w:rsidP="000F2164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t>3</w:t>
      </w:r>
      <w:r w:rsidR="00AF678B" w:rsidRPr="00F84968">
        <w:rPr>
          <w:sz w:val="28"/>
          <w:szCs w:val="24"/>
        </w:rPr>
        <w:t>.-  Los materiales  de difusión  serán los siguientes:</w:t>
      </w:r>
    </w:p>
    <w:p w:rsidR="00AF678B" w:rsidRPr="00F84968" w:rsidRDefault="00AF678B" w:rsidP="00F84968">
      <w:p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ab/>
        <w:t>a) Video  del 12 de Julio dónde AMLO  explica  la compra del voto.</w:t>
      </w:r>
    </w:p>
    <w:p w:rsidR="00AF678B" w:rsidRPr="00F84968" w:rsidRDefault="00AF678B" w:rsidP="00F84968">
      <w:p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ab/>
        <w:t>b) Videos  recabados en  los estados.</w:t>
      </w:r>
    </w:p>
    <w:p w:rsidR="00AF678B" w:rsidRPr="00F84968" w:rsidRDefault="00AF678B" w:rsidP="00F84968">
      <w:p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ab/>
        <w:t>c) Documentos elaborados  por el equipo de difusión.</w:t>
      </w:r>
    </w:p>
    <w:p w:rsidR="00F84968" w:rsidRPr="00F84968" w:rsidRDefault="00F84968" w:rsidP="00F84968">
      <w:pPr>
        <w:spacing w:after="0"/>
        <w:jc w:val="both"/>
        <w:rPr>
          <w:sz w:val="28"/>
          <w:szCs w:val="24"/>
        </w:rPr>
      </w:pPr>
    </w:p>
    <w:p w:rsidR="00AF678B" w:rsidRPr="00F84968" w:rsidRDefault="005455F3" w:rsidP="00F84968">
      <w:pPr>
        <w:spacing w:after="6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>4</w:t>
      </w:r>
      <w:r w:rsidR="00AF678B" w:rsidRPr="00F84968">
        <w:rPr>
          <w:sz w:val="28"/>
          <w:szCs w:val="24"/>
        </w:rPr>
        <w:t>.- Equipamiento:</w:t>
      </w:r>
    </w:p>
    <w:p w:rsidR="00AF678B" w:rsidRPr="00F84968" w:rsidRDefault="00AF678B" w:rsidP="00F84968">
      <w:pPr>
        <w:pStyle w:val="Prrafodelista"/>
        <w:numPr>
          <w:ilvl w:val="0"/>
          <w:numId w:val="1"/>
        </w:numPr>
        <w:spacing w:after="6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 xml:space="preserve">Lonas de identificación del evento </w:t>
      </w:r>
    </w:p>
    <w:p w:rsidR="00AF678B" w:rsidRPr="00F84968" w:rsidRDefault="00AF678B" w:rsidP="00F84968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 xml:space="preserve">Carpa </w:t>
      </w:r>
    </w:p>
    <w:p w:rsidR="00AF678B" w:rsidRPr="00F84968" w:rsidRDefault="00AF678B" w:rsidP="00F84968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>Mesas</w:t>
      </w:r>
    </w:p>
    <w:p w:rsidR="00AF678B" w:rsidRPr="00F84968" w:rsidRDefault="00AF678B" w:rsidP="00F84968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>Sillas</w:t>
      </w:r>
    </w:p>
    <w:p w:rsidR="00AF678B" w:rsidRPr="00F84968" w:rsidRDefault="00AF678B" w:rsidP="00F84968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>Cajas para guardar pruebas</w:t>
      </w:r>
    </w:p>
    <w:p w:rsidR="00AF678B" w:rsidRPr="00F84968" w:rsidRDefault="00AF678B" w:rsidP="00F84968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 xml:space="preserve">Formato para recabar firmas </w:t>
      </w:r>
    </w:p>
    <w:p w:rsidR="00AF678B" w:rsidRPr="00F84968" w:rsidRDefault="00AF678B" w:rsidP="00F84968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 xml:space="preserve">Acuses de </w:t>
      </w:r>
      <w:r w:rsidR="005455F3" w:rsidRPr="00F84968">
        <w:rPr>
          <w:sz w:val="28"/>
          <w:szCs w:val="24"/>
        </w:rPr>
        <w:t>recibo de pruebas y testimonios</w:t>
      </w:r>
    </w:p>
    <w:p w:rsidR="00AF678B" w:rsidRPr="00F84968" w:rsidRDefault="00AF678B" w:rsidP="00F84968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>Equipo de Sonido</w:t>
      </w:r>
    </w:p>
    <w:p w:rsidR="00AF678B" w:rsidRPr="00F84968" w:rsidRDefault="00AF678B" w:rsidP="00F84968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>Equipo de  video (en caso de  las  ciudades capitales)</w:t>
      </w:r>
      <w:r w:rsidR="005455F3" w:rsidRPr="00F84968">
        <w:rPr>
          <w:sz w:val="28"/>
          <w:szCs w:val="24"/>
        </w:rPr>
        <w:t>.</w:t>
      </w:r>
    </w:p>
    <w:p w:rsidR="005455F3" w:rsidRPr="00F84968" w:rsidRDefault="005455F3" w:rsidP="00F84968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F84968">
        <w:rPr>
          <w:sz w:val="28"/>
          <w:szCs w:val="24"/>
        </w:rPr>
        <w:t>Cámara de video ó fotográfica  para grabar testimonios y fotografiar pruebas.</w:t>
      </w:r>
    </w:p>
    <w:p w:rsidR="00F84968" w:rsidRPr="00F84968" w:rsidRDefault="00F84968" w:rsidP="000F2164">
      <w:pPr>
        <w:jc w:val="both"/>
        <w:rPr>
          <w:sz w:val="28"/>
          <w:szCs w:val="24"/>
        </w:rPr>
      </w:pPr>
    </w:p>
    <w:p w:rsidR="005455F3" w:rsidRPr="00F84968" w:rsidRDefault="005455F3" w:rsidP="000F2164">
      <w:pPr>
        <w:jc w:val="both"/>
        <w:rPr>
          <w:sz w:val="28"/>
          <w:szCs w:val="24"/>
        </w:rPr>
      </w:pPr>
      <w:r w:rsidRPr="00F84968">
        <w:rPr>
          <w:sz w:val="28"/>
          <w:szCs w:val="24"/>
        </w:rPr>
        <w:lastRenderedPageBreak/>
        <w:t>En caso de  que algunos ciudadanos estén dispuestos a dar su testimonio notarial, tener  identificado  con anticipación al  notario público más cercano  y solicitar sus servicios.</w:t>
      </w:r>
    </w:p>
    <w:sectPr w:rsidR="005455F3" w:rsidRPr="00F84968" w:rsidSect="00F84968">
      <w:pgSz w:w="12240" w:h="15840"/>
      <w:pgMar w:top="1135" w:right="118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2960"/>
    <w:multiLevelType w:val="multilevel"/>
    <w:tmpl w:val="911E95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2849"/>
    <w:rsid w:val="000125D3"/>
    <w:rsid w:val="00015F95"/>
    <w:rsid w:val="000F2164"/>
    <w:rsid w:val="000F2EA6"/>
    <w:rsid w:val="00212849"/>
    <w:rsid w:val="00226519"/>
    <w:rsid w:val="002850CE"/>
    <w:rsid w:val="004D044A"/>
    <w:rsid w:val="005455F3"/>
    <w:rsid w:val="006A7155"/>
    <w:rsid w:val="00754173"/>
    <w:rsid w:val="00775A06"/>
    <w:rsid w:val="007F5B99"/>
    <w:rsid w:val="00867825"/>
    <w:rsid w:val="00AF678B"/>
    <w:rsid w:val="00B83A79"/>
    <w:rsid w:val="00BF11EA"/>
    <w:rsid w:val="00D92A74"/>
    <w:rsid w:val="00E34B60"/>
    <w:rsid w:val="00F8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8ED3-03D9-4B66-A19B-F3AA7780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Laura</cp:lastModifiedBy>
  <cp:revision>2</cp:revision>
  <cp:lastPrinted>2012-07-19T15:55:00Z</cp:lastPrinted>
  <dcterms:created xsi:type="dcterms:W3CDTF">2012-07-20T02:05:00Z</dcterms:created>
  <dcterms:modified xsi:type="dcterms:W3CDTF">2012-07-20T02:05:00Z</dcterms:modified>
</cp:coreProperties>
</file>